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F6021C">
      <w:pPr>
        <w:pStyle w:val="2"/>
        <w:keepNext w:val="0"/>
        <w:keepLines w:val="0"/>
        <w:widowControl/>
        <w:suppressLineNumbers w:val="0"/>
        <w:jc w:val="center"/>
      </w:pPr>
      <w:bookmarkStart w:id="0" w:name="_GoBack"/>
      <w:r>
        <w:rPr>
          <w:i w:val="0"/>
          <w:iCs w:val="0"/>
          <w:caps w:val="0"/>
          <w:color w:val="17233D"/>
          <w:spacing w:val="0"/>
        </w:rPr>
        <w:t>贯彻落实“三重一大”决策制度实施细则</w:t>
      </w:r>
      <w:bookmarkEnd w:id="0"/>
    </w:p>
    <w:p w14:paraId="687BC261">
      <w:pPr>
        <w:pStyle w:val="3"/>
        <w:keepNext w:val="0"/>
        <w:keepLines w:val="0"/>
        <w:widowControl/>
        <w:suppressLineNumbers w:val="0"/>
        <w:spacing w:line="420" w:lineRule="atLeast"/>
        <w:jc w:val="center"/>
        <w:rPr>
          <w:color w:val="17233D"/>
          <w:sz w:val="32"/>
          <w:szCs w:val="32"/>
        </w:rPr>
      </w:pPr>
      <w:r>
        <w:rPr>
          <w:rStyle w:val="6"/>
          <w:rFonts w:hint="eastAsia" w:ascii="微软雅黑" w:hAnsi="微软雅黑" w:eastAsia="微软雅黑" w:cs="微软雅黑"/>
          <w:i w:val="0"/>
          <w:iCs w:val="0"/>
          <w:caps w:val="0"/>
          <w:color w:val="17233D"/>
          <w:spacing w:val="0"/>
          <w:sz w:val="32"/>
          <w:szCs w:val="32"/>
        </w:rPr>
        <w:t>一、总则</w:t>
      </w:r>
    </w:p>
    <w:p w14:paraId="43122B95">
      <w:pPr>
        <w:pStyle w:val="3"/>
        <w:keepNext w:val="0"/>
        <w:keepLines w:val="0"/>
        <w:widowControl/>
        <w:suppressLineNumbers w:val="0"/>
        <w:spacing w:line="420" w:lineRule="atLeast"/>
        <w:ind w:left="0" w:firstLine="600"/>
        <w:rPr>
          <w:color w:val="17233D"/>
          <w:sz w:val="32"/>
          <w:szCs w:val="32"/>
        </w:rPr>
      </w:pPr>
      <w:r>
        <w:rPr>
          <w:rFonts w:hint="eastAsia" w:ascii="微软雅黑" w:hAnsi="微软雅黑" w:eastAsia="微软雅黑" w:cs="微软雅黑"/>
          <w:i w:val="0"/>
          <w:iCs w:val="0"/>
          <w:caps w:val="0"/>
          <w:color w:val="17233D"/>
          <w:spacing w:val="0"/>
          <w:sz w:val="32"/>
          <w:szCs w:val="32"/>
        </w:rPr>
        <w:t>1.</w:t>
      </w:r>
      <w:r>
        <w:rPr>
          <w:rFonts w:hint="eastAsia" w:ascii="微软雅黑" w:hAnsi="微软雅黑" w:eastAsia="微软雅黑" w:cs="微软雅黑"/>
          <w:i w:val="0"/>
          <w:iCs w:val="0"/>
          <w:caps w:val="0"/>
          <w:color w:val="17233D"/>
          <w:spacing w:val="0"/>
          <w:sz w:val="32"/>
          <w:szCs w:val="32"/>
          <w:shd w:val="clear" w:fill="FFFFFF"/>
        </w:rPr>
        <w:t>按照《关于进一步推进二级单位贯彻落实“三重一大”决策制度的指导意见》（中大党字〔</w:t>
      </w:r>
      <w:r>
        <w:rPr>
          <w:rFonts w:ascii="仿宋_GB2312" w:hAnsi="微软雅黑" w:eastAsia="仿宋_GB2312" w:cs="仿宋_GB2312"/>
          <w:i w:val="0"/>
          <w:iCs w:val="0"/>
          <w:caps w:val="0"/>
          <w:color w:val="17233D"/>
          <w:spacing w:val="0"/>
          <w:sz w:val="32"/>
          <w:szCs w:val="32"/>
          <w:shd w:val="clear" w:fill="FFFFFF"/>
        </w:rPr>
        <w:t>2016</w:t>
      </w:r>
      <w:r>
        <w:rPr>
          <w:rFonts w:hint="eastAsia" w:ascii="微软雅黑" w:hAnsi="微软雅黑" w:eastAsia="微软雅黑" w:cs="微软雅黑"/>
          <w:i w:val="0"/>
          <w:iCs w:val="0"/>
          <w:caps w:val="0"/>
          <w:color w:val="17233D"/>
          <w:spacing w:val="0"/>
          <w:sz w:val="32"/>
          <w:szCs w:val="32"/>
          <w:shd w:val="clear" w:fill="FFFFFF"/>
        </w:rPr>
        <w:t>〕</w:t>
      </w:r>
      <w:r>
        <w:rPr>
          <w:rFonts w:hint="default" w:ascii="仿宋_GB2312" w:hAnsi="微软雅黑" w:eastAsia="仿宋_GB2312" w:cs="仿宋_GB2312"/>
          <w:i w:val="0"/>
          <w:iCs w:val="0"/>
          <w:caps w:val="0"/>
          <w:color w:val="17233D"/>
          <w:spacing w:val="0"/>
          <w:sz w:val="32"/>
          <w:szCs w:val="32"/>
          <w:shd w:val="clear" w:fill="FFFFFF"/>
        </w:rPr>
        <w:t>20</w:t>
      </w:r>
      <w:r>
        <w:rPr>
          <w:rFonts w:hint="eastAsia" w:ascii="微软雅黑" w:hAnsi="微软雅黑" w:eastAsia="微软雅黑" w:cs="微软雅黑"/>
          <w:i w:val="0"/>
          <w:iCs w:val="0"/>
          <w:caps w:val="0"/>
          <w:color w:val="17233D"/>
          <w:spacing w:val="0"/>
          <w:sz w:val="32"/>
          <w:szCs w:val="32"/>
          <w:shd w:val="clear" w:fill="FFFFFF"/>
        </w:rPr>
        <w:t>号）的精神，结合教研部实际情况，制定本实施细则。</w:t>
      </w:r>
    </w:p>
    <w:p w14:paraId="63C49E40">
      <w:pPr>
        <w:pStyle w:val="3"/>
        <w:keepNext w:val="0"/>
        <w:keepLines w:val="0"/>
        <w:widowControl/>
        <w:suppressLineNumbers w:val="0"/>
        <w:spacing w:line="420" w:lineRule="atLeast"/>
        <w:ind w:left="0" w:firstLine="600"/>
        <w:rPr>
          <w:color w:val="17233D"/>
          <w:sz w:val="32"/>
          <w:szCs w:val="32"/>
        </w:rPr>
      </w:pPr>
      <w:r>
        <w:rPr>
          <w:rFonts w:hint="eastAsia" w:ascii="微软雅黑" w:hAnsi="微软雅黑" w:eastAsia="微软雅黑" w:cs="微软雅黑"/>
          <w:i w:val="0"/>
          <w:iCs w:val="0"/>
          <w:caps w:val="0"/>
          <w:color w:val="17233D"/>
          <w:spacing w:val="0"/>
          <w:sz w:val="32"/>
          <w:szCs w:val="32"/>
          <w:shd w:val="clear" w:fill="FFFFFF"/>
        </w:rPr>
        <w:t>2.“三重一大”决策制度，是指重大决策、重要人事任免、重大项目安排和大额度资金运作，必须经教研部领导班子集体讨论作出决定的制度。</w:t>
      </w:r>
      <w:r>
        <w:rPr>
          <w:rFonts w:hint="eastAsia" w:ascii="微软雅黑" w:hAnsi="微软雅黑" w:eastAsia="微软雅黑" w:cs="微软雅黑"/>
          <w:i w:val="0"/>
          <w:iCs w:val="0"/>
          <w:caps w:val="0"/>
          <w:color w:val="17233D"/>
          <w:spacing w:val="0"/>
          <w:sz w:val="32"/>
          <w:szCs w:val="32"/>
        </w:rPr>
        <w:t>凡涉及教学、科研、党政管理和师生员工切身利益的</w:t>
      </w:r>
      <w:r>
        <w:rPr>
          <w:rFonts w:hint="eastAsia" w:ascii="微软雅黑" w:hAnsi="微软雅黑" w:eastAsia="微软雅黑" w:cs="微软雅黑"/>
          <w:i w:val="0"/>
          <w:iCs w:val="0"/>
          <w:caps w:val="0"/>
          <w:color w:val="17233D"/>
          <w:spacing w:val="0"/>
          <w:sz w:val="32"/>
          <w:szCs w:val="32"/>
          <w:shd w:val="clear" w:fill="FFFFFF"/>
        </w:rPr>
        <w:t>重大问题，都属于教研部的重大事项，对上述事项的决策均属于“三重一大”决策。</w:t>
      </w:r>
    </w:p>
    <w:p w14:paraId="18AF60B0">
      <w:pPr>
        <w:pStyle w:val="3"/>
        <w:keepNext w:val="0"/>
        <w:keepLines w:val="0"/>
        <w:widowControl/>
        <w:suppressLineNumbers w:val="0"/>
        <w:spacing w:line="420" w:lineRule="atLeast"/>
        <w:ind w:left="0" w:firstLine="600"/>
        <w:rPr>
          <w:color w:val="17233D"/>
          <w:sz w:val="32"/>
          <w:szCs w:val="32"/>
        </w:rPr>
      </w:pPr>
      <w:r>
        <w:rPr>
          <w:rFonts w:hint="eastAsia" w:ascii="微软雅黑" w:hAnsi="微软雅黑" w:eastAsia="微软雅黑" w:cs="微软雅黑"/>
          <w:i w:val="0"/>
          <w:iCs w:val="0"/>
          <w:caps w:val="0"/>
          <w:color w:val="17233D"/>
          <w:spacing w:val="0"/>
          <w:sz w:val="32"/>
          <w:szCs w:val="32"/>
        </w:rPr>
        <w:t>3.教研部贯彻落实“三重一大”决策制度，必须坚持以邓小平理论、“三个代表”重要思想和科学发展观为指导，深入学习贯彻习近平总书记系列重要讲话精神，规范集体决策程序，健全民主决策机制，强化监督检查，加大责任追求力度。要遵循高等教育规律，坚持民主集中制原则，充分发扬民主，广泛听取意见，逐步完善群众参与、专家咨询和集体决策相结合的决策机制，保证决策的民主性与科学性；要遵守国家法律法规、党内规章制度和有关政策，保证决策的合法性。</w:t>
      </w:r>
    </w:p>
    <w:p w14:paraId="57462DA5">
      <w:pPr>
        <w:pStyle w:val="3"/>
        <w:keepNext w:val="0"/>
        <w:keepLines w:val="0"/>
        <w:widowControl/>
        <w:suppressLineNumbers w:val="0"/>
        <w:spacing w:line="420" w:lineRule="atLeast"/>
        <w:ind w:left="0" w:firstLine="600"/>
        <w:rPr>
          <w:color w:val="17233D"/>
          <w:sz w:val="32"/>
          <w:szCs w:val="32"/>
        </w:rPr>
      </w:pPr>
      <w:r>
        <w:rPr>
          <w:rFonts w:hint="eastAsia" w:ascii="微软雅黑" w:hAnsi="微软雅黑" w:eastAsia="微软雅黑" w:cs="微软雅黑"/>
          <w:i w:val="0"/>
          <w:iCs w:val="0"/>
          <w:caps w:val="0"/>
          <w:color w:val="17233D"/>
          <w:spacing w:val="0"/>
          <w:sz w:val="32"/>
          <w:szCs w:val="32"/>
        </w:rPr>
        <w:t>4.</w:t>
      </w:r>
      <w:r>
        <w:rPr>
          <w:rFonts w:hint="eastAsia" w:ascii="微软雅黑" w:hAnsi="微软雅黑" w:eastAsia="微软雅黑" w:cs="微软雅黑"/>
          <w:i w:val="0"/>
          <w:iCs w:val="0"/>
          <w:caps w:val="0"/>
          <w:color w:val="17233D"/>
          <w:spacing w:val="0"/>
          <w:sz w:val="32"/>
          <w:szCs w:val="32"/>
          <w:shd w:val="clear" w:fill="FFFFFF"/>
        </w:rPr>
        <w:t>本实施细则是教研部领导班子集体决策的行为准则，领导班子成员要牢固树立制度意识、规则意识，严格执行本实施细则。</w:t>
      </w:r>
    </w:p>
    <w:p w14:paraId="651C021F">
      <w:pPr>
        <w:pStyle w:val="3"/>
        <w:keepNext w:val="0"/>
        <w:keepLines w:val="0"/>
        <w:widowControl/>
        <w:suppressLineNumbers w:val="0"/>
        <w:spacing w:line="420" w:lineRule="atLeast"/>
        <w:jc w:val="center"/>
        <w:rPr>
          <w:color w:val="17233D"/>
          <w:sz w:val="32"/>
          <w:szCs w:val="32"/>
        </w:rPr>
      </w:pPr>
      <w:r>
        <w:rPr>
          <w:rStyle w:val="6"/>
          <w:rFonts w:hint="eastAsia" w:ascii="微软雅黑" w:hAnsi="微软雅黑" w:eastAsia="微软雅黑" w:cs="微软雅黑"/>
          <w:i w:val="0"/>
          <w:iCs w:val="0"/>
          <w:caps w:val="0"/>
          <w:color w:val="17233D"/>
          <w:spacing w:val="0"/>
          <w:sz w:val="32"/>
          <w:szCs w:val="32"/>
        </w:rPr>
        <w:t>二、决策的主要事项</w:t>
      </w:r>
    </w:p>
    <w:p w14:paraId="3C2ED72A">
      <w:pPr>
        <w:pStyle w:val="3"/>
        <w:keepNext w:val="0"/>
        <w:keepLines w:val="0"/>
        <w:widowControl/>
        <w:suppressLineNumbers w:val="0"/>
        <w:spacing w:line="420" w:lineRule="atLeast"/>
        <w:ind w:left="0" w:firstLine="600"/>
        <w:rPr>
          <w:color w:val="17233D"/>
          <w:sz w:val="32"/>
          <w:szCs w:val="32"/>
        </w:rPr>
      </w:pPr>
      <w:r>
        <w:rPr>
          <w:rFonts w:hint="eastAsia" w:ascii="微软雅黑" w:hAnsi="微软雅黑" w:eastAsia="微软雅黑" w:cs="微软雅黑"/>
          <w:i w:val="0"/>
          <w:iCs w:val="0"/>
          <w:caps w:val="0"/>
          <w:color w:val="17233D"/>
          <w:spacing w:val="0"/>
          <w:sz w:val="32"/>
          <w:szCs w:val="32"/>
        </w:rPr>
        <w:t>1.贯彻上级重要指示精神的事项；</w:t>
      </w:r>
    </w:p>
    <w:p w14:paraId="1DC8F608">
      <w:pPr>
        <w:pStyle w:val="3"/>
        <w:keepNext w:val="0"/>
        <w:keepLines w:val="0"/>
        <w:widowControl/>
        <w:suppressLineNumbers w:val="0"/>
        <w:spacing w:line="420" w:lineRule="atLeast"/>
        <w:ind w:left="0" w:firstLine="600"/>
        <w:rPr>
          <w:color w:val="17233D"/>
          <w:sz w:val="32"/>
          <w:szCs w:val="32"/>
        </w:rPr>
      </w:pPr>
      <w:r>
        <w:rPr>
          <w:rFonts w:hint="eastAsia" w:ascii="微软雅黑" w:hAnsi="微软雅黑" w:eastAsia="微软雅黑" w:cs="微软雅黑"/>
          <w:i w:val="0"/>
          <w:iCs w:val="0"/>
          <w:caps w:val="0"/>
          <w:color w:val="17233D"/>
          <w:spacing w:val="0"/>
          <w:sz w:val="32"/>
          <w:szCs w:val="32"/>
        </w:rPr>
        <w:t>2.党的建设、党风廉政建设和意识形态工作、思想政治教育和精神文明建设等工作中的重要事项；</w:t>
      </w:r>
    </w:p>
    <w:p w14:paraId="11BBF1AC">
      <w:pPr>
        <w:pStyle w:val="3"/>
        <w:keepNext w:val="0"/>
        <w:keepLines w:val="0"/>
        <w:widowControl/>
        <w:suppressLineNumbers w:val="0"/>
        <w:spacing w:line="420" w:lineRule="atLeast"/>
        <w:ind w:left="0" w:firstLine="600"/>
        <w:rPr>
          <w:color w:val="17233D"/>
          <w:sz w:val="32"/>
          <w:szCs w:val="32"/>
        </w:rPr>
      </w:pPr>
      <w:r>
        <w:rPr>
          <w:rFonts w:hint="eastAsia" w:ascii="微软雅黑" w:hAnsi="微软雅黑" w:eastAsia="微软雅黑" w:cs="微软雅黑"/>
          <w:i w:val="0"/>
          <w:iCs w:val="0"/>
          <w:caps w:val="0"/>
          <w:color w:val="17233D"/>
          <w:spacing w:val="0"/>
          <w:sz w:val="32"/>
          <w:szCs w:val="32"/>
        </w:rPr>
        <w:t>3.领导班子职责分工以及涉及班子自身建设的事项；</w:t>
      </w:r>
    </w:p>
    <w:p w14:paraId="281399E3">
      <w:pPr>
        <w:pStyle w:val="3"/>
        <w:keepNext w:val="0"/>
        <w:keepLines w:val="0"/>
        <w:widowControl/>
        <w:suppressLineNumbers w:val="0"/>
        <w:spacing w:line="420" w:lineRule="atLeast"/>
        <w:ind w:left="0" w:firstLine="600"/>
        <w:rPr>
          <w:color w:val="17233D"/>
          <w:sz w:val="32"/>
          <w:szCs w:val="32"/>
        </w:rPr>
      </w:pPr>
      <w:r>
        <w:rPr>
          <w:rFonts w:hint="eastAsia" w:ascii="微软雅黑" w:hAnsi="微软雅黑" w:eastAsia="微软雅黑" w:cs="微软雅黑"/>
          <w:i w:val="0"/>
          <w:iCs w:val="0"/>
          <w:caps w:val="0"/>
          <w:color w:val="17233D"/>
          <w:spacing w:val="0"/>
          <w:sz w:val="32"/>
          <w:szCs w:val="32"/>
        </w:rPr>
        <w:t>4.重要突发事件、责任事故、法律纠纷等涉及教研部安全稳定事项的处置；</w:t>
      </w:r>
    </w:p>
    <w:p w14:paraId="17619D97">
      <w:pPr>
        <w:pStyle w:val="3"/>
        <w:keepNext w:val="0"/>
        <w:keepLines w:val="0"/>
        <w:widowControl/>
        <w:suppressLineNumbers w:val="0"/>
        <w:spacing w:line="420" w:lineRule="atLeast"/>
        <w:ind w:left="0" w:firstLine="600"/>
        <w:rPr>
          <w:color w:val="17233D"/>
          <w:sz w:val="32"/>
          <w:szCs w:val="32"/>
        </w:rPr>
      </w:pPr>
      <w:r>
        <w:rPr>
          <w:rFonts w:hint="eastAsia" w:ascii="微软雅黑" w:hAnsi="微软雅黑" w:eastAsia="微软雅黑" w:cs="微软雅黑"/>
          <w:i w:val="0"/>
          <w:iCs w:val="0"/>
          <w:caps w:val="0"/>
          <w:color w:val="17233D"/>
          <w:spacing w:val="0"/>
          <w:sz w:val="32"/>
          <w:szCs w:val="32"/>
        </w:rPr>
        <w:t>5.办学定位、发展规划、涉及全局的重大改革方案、重大教学科研改革举措、重要办学资源配置方案等，年度工作计划；</w:t>
      </w:r>
    </w:p>
    <w:p w14:paraId="13BBB831">
      <w:pPr>
        <w:pStyle w:val="3"/>
        <w:keepNext w:val="0"/>
        <w:keepLines w:val="0"/>
        <w:widowControl/>
        <w:suppressLineNumbers w:val="0"/>
        <w:spacing w:line="420" w:lineRule="atLeast"/>
        <w:ind w:left="0" w:firstLine="600"/>
        <w:rPr>
          <w:color w:val="17233D"/>
          <w:sz w:val="32"/>
          <w:szCs w:val="32"/>
        </w:rPr>
      </w:pPr>
      <w:r>
        <w:rPr>
          <w:rFonts w:hint="eastAsia" w:ascii="微软雅黑" w:hAnsi="微软雅黑" w:eastAsia="微软雅黑" w:cs="微软雅黑"/>
          <w:i w:val="0"/>
          <w:iCs w:val="0"/>
          <w:caps w:val="0"/>
          <w:color w:val="17233D"/>
          <w:spacing w:val="0"/>
          <w:sz w:val="32"/>
          <w:szCs w:val="32"/>
        </w:rPr>
        <w:t>6.内设机构的设置与调整；</w:t>
      </w:r>
    </w:p>
    <w:p w14:paraId="13300A7B">
      <w:pPr>
        <w:pStyle w:val="3"/>
        <w:keepNext w:val="0"/>
        <w:keepLines w:val="0"/>
        <w:widowControl/>
        <w:suppressLineNumbers w:val="0"/>
        <w:spacing w:line="420" w:lineRule="atLeast"/>
        <w:ind w:left="0" w:firstLine="600"/>
        <w:rPr>
          <w:color w:val="17233D"/>
          <w:sz w:val="32"/>
          <w:szCs w:val="32"/>
        </w:rPr>
      </w:pPr>
      <w:r>
        <w:rPr>
          <w:rFonts w:hint="eastAsia" w:ascii="微软雅黑" w:hAnsi="微软雅黑" w:eastAsia="微软雅黑" w:cs="微软雅黑"/>
          <w:i w:val="0"/>
          <w:iCs w:val="0"/>
          <w:caps w:val="0"/>
          <w:color w:val="17233D"/>
          <w:spacing w:val="0"/>
          <w:sz w:val="32"/>
          <w:szCs w:val="32"/>
        </w:rPr>
        <w:t>7.学科、专业设置及发展规划、人才培养方案、学位点评估及建设、教学规划和教学方案等重要事项；</w:t>
      </w:r>
    </w:p>
    <w:p w14:paraId="65FAA921">
      <w:pPr>
        <w:pStyle w:val="3"/>
        <w:keepNext w:val="0"/>
        <w:keepLines w:val="0"/>
        <w:widowControl/>
        <w:suppressLineNumbers w:val="0"/>
        <w:spacing w:line="420" w:lineRule="atLeast"/>
        <w:ind w:left="0" w:firstLine="600"/>
        <w:rPr>
          <w:color w:val="17233D"/>
          <w:sz w:val="32"/>
          <w:szCs w:val="32"/>
        </w:rPr>
      </w:pPr>
      <w:r>
        <w:rPr>
          <w:rFonts w:hint="eastAsia" w:ascii="微软雅黑" w:hAnsi="微软雅黑" w:eastAsia="微软雅黑" w:cs="微软雅黑"/>
          <w:i w:val="0"/>
          <w:iCs w:val="0"/>
          <w:caps w:val="0"/>
          <w:color w:val="17233D"/>
          <w:spacing w:val="0"/>
          <w:sz w:val="32"/>
          <w:szCs w:val="32"/>
        </w:rPr>
        <w:t>8.科研奖励政策、重要科研平台建设、限额申报的重要科研项目的申报推荐等科研工作中的重要事项；</w:t>
      </w:r>
    </w:p>
    <w:p w14:paraId="72224A91">
      <w:pPr>
        <w:pStyle w:val="3"/>
        <w:keepNext w:val="0"/>
        <w:keepLines w:val="0"/>
        <w:widowControl/>
        <w:suppressLineNumbers w:val="0"/>
        <w:spacing w:line="420" w:lineRule="atLeast"/>
        <w:ind w:left="0" w:firstLine="600"/>
        <w:rPr>
          <w:color w:val="17233D"/>
          <w:sz w:val="32"/>
          <w:szCs w:val="32"/>
        </w:rPr>
      </w:pPr>
      <w:r>
        <w:rPr>
          <w:rFonts w:hint="eastAsia" w:ascii="微软雅黑" w:hAnsi="微软雅黑" w:eastAsia="微软雅黑" w:cs="微软雅黑"/>
          <w:i w:val="0"/>
          <w:iCs w:val="0"/>
          <w:caps w:val="0"/>
          <w:color w:val="17233D"/>
          <w:spacing w:val="0"/>
          <w:sz w:val="32"/>
          <w:szCs w:val="32"/>
        </w:rPr>
        <w:t>9.对外交流和合作办学的重要事项；</w:t>
      </w:r>
    </w:p>
    <w:p w14:paraId="0D96E1E1">
      <w:pPr>
        <w:pStyle w:val="3"/>
        <w:keepNext w:val="0"/>
        <w:keepLines w:val="0"/>
        <w:widowControl/>
        <w:suppressLineNumbers w:val="0"/>
        <w:spacing w:line="420" w:lineRule="atLeast"/>
        <w:ind w:left="0" w:firstLine="600"/>
        <w:rPr>
          <w:color w:val="17233D"/>
          <w:sz w:val="32"/>
          <w:szCs w:val="32"/>
        </w:rPr>
      </w:pPr>
      <w:r>
        <w:rPr>
          <w:rFonts w:hint="eastAsia" w:ascii="微软雅黑" w:hAnsi="微软雅黑" w:eastAsia="微软雅黑" w:cs="微软雅黑"/>
          <w:i w:val="0"/>
          <w:iCs w:val="0"/>
          <w:caps w:val="0"/>
          <w:color w:val="17233D"/>
          <w:spacing w:val="0"/>
          <w:sz w:val="32"/>
          <w:szCs w:val="32"/>
        </w:rPr>
        <w:t>10.内聘中层干部和其他重要岗位人员的任免，以及其他需要报送学校审批的重要人事事项；</w:t>
      </w:r>
    </w:p>
    <w:p w14:paraId="2C49043D">
      <w:pPr>
        <w:pStyle w:val="3"/>
        <w:keepNext w:val="0"/>
        <w:keepLines w:val="0"/>
        <w:widowControl/>
        <w:suppressLineNumbers w:val="0"/>
        <w:spacing w:line="420" w:lineRule="atLeast"/>
        <w:ind w:left="0" w:firstLine="600"/>
        <w:rPr>
          <w:color w:val="17233D"/>
          <w:sz w:val="32"/>
          <w:szCs w:val="32"/>
        </w:rPr>
      </w:pPr>
      <w:r>
        <w:rPr>
          <w:rFonts w:hint="eastAsia" w:ascii="微软雅黑" w:hAnsi="微软雅黑" w:eastAsia="微软雅黑" w:cs="微软雅黑"/>
          <w:i w:val="0"/>
          <w:iCs w:val="0"/>
          <w:caps w:val="0"/>
          <w:color w:val="17233D"/>
          <w:spacing w:val="0"/>
          <w:sz w:val="32"/>
          <w:szCs w:val="32"/>
        </w:rPr>
        <w:t>11.重要人才政策、重点人才计划推荐、人才引进、专业技术职务聘任、师资补充、非事业编人员聘用、人员考核等人才队伍建设的重要事项；</w:t>
      </w:r>
    </w:p>
    <w:p w14:paraId="531A9502">
      <w:pPr>
        <w:pStyle w:val="3"/>
        <w:keepNext w:val="0"/>
        <w:keepLines w:val="0"/>
        <w:widowControl/>
        <w:suppressLineNumbers w:val="0"/>
        <w:spacing w:line="420" w:lineRule="atLeast"/>
        <w:ind w:left="0" w:firstLine="600"/>
        <w:rPr>
          <w:color w:val="17233D"/>
          <w:sz w:val="32"/>
          <w:szCs w:val="32"/>
        </w:rPr>
      </w:pPr>
      <w:r>
        <w:rPr>
          <w:rFonts w:hint="eastAsia" w:ascii="微软雅黑" w:hAnsi="微软雅黑" w:eastAsia="微软雅黑" w:cs="微软雅黑"/>
          <w:i w:val="0"/>
          <w:iCs w:val="0"/>
          <w:caps w:val="0"/>
          <w:color w:val="17233D"/>
          <w:spacing w:val="0"/>
          <w:sz w:val="32"/>
          <w:szCs w:val="32"/>
        </w:rPr>
        <w:t>12.高水平运动队及“运动训练”专业学生招生方案、优秀应届本科毕业生（含高水平运动队学生）推荐攻读硕士学位研究生方案、研究生招生复试方案等涉及学生重大利益的人才培养事项；</w:t>
      </w:r>
    </w:p>
    <w:p w14:paraId="477F1575">
      <w:pPr>
        <w:pStyle w:val="3"/>
        <w:keepNext w:val="0"/>
        <w:keepLines w:val="0"/>
        <w:widowControl/>
        <w:suppressLineNumbers w:val="0"/>
        <w:spacing w:line="420" w:lineRule="atLeast"/>
        <w:ind w:left="0" w:firstLine="600"/>
        <w:rPr>
          <w:color w:val="17233D"/>
          <w:sz w:val="32"/>
          <w:szCs w:val="32"/>
        </w:rPr>
      </w:pPr>
      <w:r>
        <w:rPr>
          <w:rFonts w:hint="eastAsia" w:ascii="微软雅黑" w:hAnsi="微软雅黑" w:eastAsia="微软雅黑" w:cs="微软雅黑"/>
          <w:i w:val="0"/>
          <w:iCs w:val="0"/>
          <w:caps w:val="0"/>
          <w:color w:val="17233D"/>
          <w:spacing w:val="0"/>
          <w:sz w:val="32"/>
          <w:szCs w:val="32"/>
        </w:rPr>
        <w:t>13.财务预算草案的审议；根据学校预算安排，教研部年度经费重要使用事项的审定；</w:t>
      </w:r>
    </w:p>
    <w:p w14:paraId="4FA814C8">
      <w:pPr>
        <w:pStyle w:val="3"/>
        <w:keepNext w:val="0"/>
        <w:keepLines w:val="0"/>
        <w:widowControl/>
        <w:suppressLineNumbers w:val="0"/>
        <w:spacing w:line="420" w:lineRule="atLeast"/>
        <w:ind w:left="0" w:firstLine="600"/>
        <w:rPr>
          <w:color w:val="17233D"/>
          <w:sz w:val="32"/>
          <w:szCs w:val="32"/>
        </w:rPr>
      </w:pPr>
      <w:r>
        <w:rPr>
          <w:rFonts w:hint="eastAsia" w:ascii="微软雅黑" w:hAnsi="微软雅黑" w:eastAsia="微软雅黑" w:cs="微软雅黑"/>
          <w:i w:val="0"/>
          <w:iCs w:val="0"/>
          <w:caps w:val="0"/>
          <w:color w:val="17233D"/>
          <w:spacing w:val="0"/>
          <w:sz w:val="32"/>
          <w:szCs w:val="32"/>
        </w:rPr>
        <w:t>14.教学工作量核算、教职工年终绩效分配细则与方案、福利待遇等关系教职员工起身权益的重要事项；</w:t>
      </w:r>
    </w:p>
    <w:p w14:paraId="5B5721B5">
      <w:pPr>
        <w:pStyle w:val="3"/>
        <w:keepNext w:val="0"/>
        <w:keepLines w:val="0"/>
        <w:widowControl/>
        <w:suppressLineNumbers w:val="0"/>
        <w:spacing w:line="420" w:lineRule="atLeast"/>
        <w:ind w:left="0" w:firstLine="600"/>
        <w:rPr>
          <w:color w:val="17233D"/>
          <w:sz w:val="32"/>
          <w:szCs w:val="32"/>
        </w:rPr>
      </w:pPr>
      <w:r>
        <w:rPr>
          <w:rFonts w:hint="eastAsia" w:ascii="微软雅黑" w:hAnsi="微软雅黑" w:eastAsia="微软雅黑" w:cs="微软雅黑"/>
          <w:i w:val="0"/>
          <w:iCs w:val="0"/>
          <w:caps w:val="0"/>
          <w:color w:val="17233D"/>
          <w:spacing w:val="0"/>
          <w:sz w:val="32"/>
          <w:szCs w:val="32"/>
        </w:rPr>
        <w:t>15.师生的重要奖惩事项；</w:t>
      </w:r>
    </w:p>
    <w:p w14:paraId="2B6DF984">
      <w:pPr>
        <w:pStyle w:val="3"/>
        <w:keepNext w:val="0"/>
        <w:keepLines w:val="0"/>
        <w:widowControl/>
        <w:suppressLineNumbers w:val="0"/>
        <w:spacing w:line="420" w:lineRule="atLeast"/>
        <w:ind w:left="0" w:firstLine="600"/>
        <w:rPr>
          <w:color w:val="17233D"/>
          <w:sz w:val="32"/>
          <w:szCs w:val="32"/>
        </w:rPr>
      </w:pPr>
      <w:r>
        <w:rPr>
          <w:rFonts w:hint="eastAsia" w:ascii="微软雅黑" w:hAnsi="微软雅黑" w:eastAsia="微软雅黑" w:cs="微软雅黑"/>
          <w:i w:val="0"/>
          <w:iCs w:val="0"/>
          <w:caps w:val="0"/>
          <w:color w:val="17233D"/>
          <w:spacing w:val="0"/>
          <w:sz w:val="32"/>
          <w:szCs w:val="32"/>
        </w:rPr>
        <w:t>16.适应于教研部内部管理的各项规章制度的制定与修订；</w:t>
      </w:r>
    </w:p>
    <w:p w14:paraId="1E392E23">
      <w:pPr>
        <w:pStyle w:val="3"/>
        <w:keepNext w:val="0"/>
        <w:keepLines w:val="0"/>
        <w:widowControl/>
        <w:suppressLineNumbers w:val="0"/>
        <w:spacing w:line="420" w:lineRule="atLeast"/>
        <w:ind w:left="0" w:firstLine="600"/>
        <w:rPr>
          <w:color w:val="17233D"/>
          <w:sz w:val="32"/>
          <w:szCs w:val="32"/>
        </w:rPr>
      </w:pPr>
      <w:r>
        <w:rPr>
          <w:rFonts w:hint="eastAsia" w:ascii="微软雅黑" w:hAnsi="微软雅黑" w:eastAsia="微软雅黑" w:cs="微软雅黑"/>
          <w:i w:val="0"/>
          <w:iCs w:val="0"/>
          <w:caps w:val="0"/>
          <w:color w:val="17233D"/>
          <w:spacing w:val="0"/>
          <w:sz w:val="32"/>
          <w:szCs w:val="32"/>
        </w:rPr>
        <w:t>17.科级干部的选拔推荐；</w:t>
      </w:r>
    </w:p>
    <w:p w14:paraId="7977814F">
      <w:pPr>
        <w:pStyle w:val="3"/>
        <w:keepNext w:val="0"/>
        <w:keepLines w:val="0"/>
        <w:widowControl/>
        <w:suppressLineNumbers w:val="0"/>
        <w:spacing w:line="420" w:lineRule="atLeast"/>
        <w:ind w:left="0" w:firstLine="600"/>
        <w:rPr>
          <w:color w:val="17233D"/>
          <w:sz w:val="32"/>
          <w:szCs w:val="32"/>
        </w:rPr>
      </w:pPr>
      <w:r>
        <w:rPr>
          <w:rFonts w:hint="eastAsia" w:ascii="微软雅黑" w:hAnsi="微软雅黑" w:eastAsia="微软雅黑" w:cs="微软雅黑"/>
          <w:i w:val="0"/>
          <w:iCs w:val="0"/>
          <w:caps w:val="0"/>
          <w:color w:val="17233D"/>
          <w:spacing w:val="0"/>
          <w:sz w:val="32"/>
          <w:szCs w:val="32"/>
        </w:rPr>
        <w:t>18.教授委员会选举工作方案及选举领导小组人员的审定、教授委员会委员变更的审批等事项；</w:t>
      </w:r>
    </w:p>
    <w:p w14:paraId="3EC29A9F">
      <w:pPr>
        <w:pStyle w:val="3"/>
        <w:keepNext w:val="0"/>
        <w:keepLines w:val="0"/>
        <w:widowControl/>
        <w:suppressLineNumbers w:val="0"/>
        <w:spacing w:line="420" w:lineRule="atLeast"/>
        <w:ind w:left="0" w:firstLine="600"/>
        <w:rPr>
          <w:color w:val="17233D"/>
          <w:sz w:val="32"/>
          <w:szCs w:val="32"/>
        </w:rPr>
      </w:pPr>
      <w:r>
        <w:rPr>
          <w:rFonts w:hint="eastAsia" w:ascii="微软雅黑" w:hAnsi="微软雅黑" w:eastAsia="微软雅黑" w:cs="微软雅黑"/>
          <w:i w:val="0"/>
          <w:iCs w:val="0"/>
          <w:caps w:val="0"/>
          <w:color w:val="17233D"/>
          <w:spacing w:val="0"/>
          <w:sz w:val="32"/>
          <w:szCs w:val="32"/>
        </w:rPr>
        <w:t>19.利用本单位科研、捐资、本单位自筹等经费进行修缮，单项工程造价在</w:t>
      </w:r>
      <w:r>
        <w:rPr>
          <w:rFonts w:hint="default" w:ascii="仿宋_GB2312" w:hAnsi="微软雅黑" w:eastAsia="仿宋_GB2312" w:cs="仿宋_GB2312"/>
          <w:i w:val="0"/>
          <w:iCs w:val="0"/>
          <w:caps w:val="0"/>
          <w:color w:val="17233D"/>
          <w:spacing w:val="0"/>
          <w:sz w:val="32"/>
          <w:szCs w:val="32"/>
        </w:rPr>
        <w:t>5</w:t>
      </w:r>
      <w:r>
        <w:rPr>
          <w:rFonts w:hint="eastAsia" w:ascii="微软雅黑" w:hAnsi="微软雅黑" w:eastAsia="微软雅黑" w:cs="微软雅黑"/>
          <w:i w:val="0"/>
          <w:iCs w:val="0"/>
          <w:caps w:val="0"/>
          <w:color w:val="17233D"/>
          <w:spacing w:val="0"/>
          <w:sz w:val="32"/>
          <w:szCs w:val="32"/>
        </w:rPr>
        <w:t>万元及以上、</w:t>
      </w:r>
      <w:r>
        <w:rPr>
          <w:rFonts w:hint="default" w:ascii="仿宋_GB2312" w:hAnsi="微软雅黑" w:eastAsia="仿宋_GB2312" w:cs="仿宋_GB2312"/>
          <w:i w:val="0"/>
          <w:iCs w:val="0"/>
          <w:caps w:val="0"/>
          <w:color w:val="17233D"/>
          <w:spacing w:val="0"/>
          <w:sz w:val="32"/>
          <w:szCs w:val="32"/>
        </w:rPr>
        <w:t>100</w:t>
      </w:r>
      <w:r>
        <w:rPr>
          <w:rFonts w:hint="eastAsia" w:ascii="微软雅黑" w:hAnsi="微软雅黑" w:eastAsia="微软雅黑" w:cs="微软雅黑"/>
          <w:i w:val="0"/>
          <w:iCs w:val="0"/>
          <w:caps w:val="0"/>
          <w:color w:val="17233D"/>
          <w:spacing w:val="0"/>
          <w:sz w:val="32"/>
          <w:szCs w:val="32"/>
        </w:rPr>
        <w:t>万元以下的项目；</w:t>
      </w:r>
    </w:p>
    <w:p w14:paraId="6B5B1AE9">
      <w:pPr>
        <w:pStyle w:val="3"/>
        <w:keepNext w:val="0"/>
        <w:keepLines w:val="0"/>
        <w:widowControl/>
        <w:suppressLineNumbers w:val="0"/>
        <w:spacing w:line="420" w:lineRule="atLeast"/>
        <w:ind w:left="0" w:firstLine="600"/>
        <w:rPr>
          <w:color w:val="17233D"/>
          <w:sz w:val="32"/>
          <w:szCs w:val="32"/>
        </w:rPr>
      </w:pPr>
      <w:r>
        <w:rPr>
          <w:rFonts w:hint="eastAsia" w:ascii="微软雅黑" w:hAnsi="微软雅黑" w:eastAsia="微软雅黑" w:cs="微软雅黑"/>
          <w:i w:val="0"/>
          <w:iCs w:val="0"/>
          <w:caps w:val="0"/>
          <w:color w:val="17233D"/>
          <w:spacing w:val="0"/>
          <w:sz w:val="32"/>
          <w:szCs w:val="32"/>
        </w:rPr>
        <w:t>20.办公及教学耗材采购经费在</w:t>
      </w:r>
      <w:r>
        <w:rPr>
          <w:rFonts w:hint="default" w:ascii="仿宋_GB2312" w:hAnsi="微软雅黑" w:eastAsia="仿宋_GB2312" w:cs="仿宋_GB2312"/>
          <w:i w:val="0"/>
          <w:iCs w:val="0"/>
          <w:caps w:val="0"/>
          <w:color w:val="17233D"/>
          <w:spacing w:val="0"/>
          <w:sz w:val="32"/>
          <w:szCs w:val="32"/>
        </w:rPr>
        <w:t>5</w:t>
      </w:r>
      <w:r>
        <w:rPr>
          <w:rFonts w:hint="eastAsia" w:ascii="微软雅黑" w:hAnsi="微软雅黑" w:eastAsia="微软雅黑" w:cs="微软雅黑"/>
          <w:i w:val="0"/>
          <w:iCs w:val="0"/>
          <w:caps w:val="0"/>
          <w:color w:val="17233D"/>
          <w:spacing w:val="0"/>
          <w:sz w:val="32"/>
          <w:szCs w:val="32"/>
        </w:rPr>
        <w:t>万元以上的项目；实验室、体育场馆等修缮经费在</w:t>
      </w:r>
      <w:r>
        <w:rPr>
          <w:rFonts w:hint="default" w:ascii="仿宋_GB2312" w:hAnsi="微软雅黑" w:eastAsia="仿宋_GB2312" w:cs="仿宋_GB2312"/>
          <w:i w:val="0"/>
          <w:iCs w:val="0"/>
          <w:caps w:val="0"/>
          <w:color w:val="17233D"/>
          <w:spacing w:val="0"/>
          <w:sz w:val="32"/>
          <w:szCs w:val="32"/>
        </w:rPr>
        <w:t>5</w:t>
      </w:r>
      <w:r>
        <w:rPr>
          <w:rFonts w:hint="eastAsia" w:ascii="微软雅黑" w:hAnsi="微软雅黑" w:eastAsia="微软雅黑" w:cs="微软雅黑"/>
          <w:i w:val="0"/>
          <w:iCs w:val="0"/>
          <w:caps w:val="0"/>
          <w:color w:val="17233D"/>
          <w:spacing w:val="0"/>
          <w:sz w:val="32"/>
          <w:szCs w:val="32"/>
        </w:rPr>
        <w:t>万元以上、</w:t>
      </w:r>
      <w:r>
        <w:rPr>
          <w:rFonts w:hint="default" w:ascii="仿宋_GB2312" w:hAnsi="微软雅黑" w:eastAsia="仿宋_GB2312" w:cs="仿宋_GB2312"/>
          <w:i w:val="0"/>
          <w:iCs w:val="0"/>
          <w:caps w:val="0"/>
          <w:color w:val="17233D"/>
          <w:spacing w:val="0"/>
          <w:sz w:val="32"/>
          <w:szCs w:val="32"/>
        </w:rPr>
        <w:t>20</w:t>
      </w:r>
      <w:r>
        <w:rPr>
          <w:rFonts w:hint="eastAsia" w:ascii="微软雅黑" w:hAnsi="微软雅黑" w:eastAsia="微软雅黑" w:cs="微软雅黑"/>
          <w:i w:val="0"/>
          <w:iCs w:val="0"/>
          <w:caps w:val="0"/>
          <w:color w:val="17233D"/>
          <w:spacing w:val="0"/>
          <w:sz w:val="32"/>
          <w:szCs w:val="32"/>
        </w:rPr>
        <w:t>万元以下的项目；预算和项目立项已批复的，按照批复执行；</w:t>
      </w:r>
    </w:p>
    <w:p w14:paraId="5112618A">
      <w:pPr>
        <w:pStyle w:val="3"/>
        <w:keepNext w:val="0"/>
        <w:keepLines w:val="0"/>
        <w:widowControl/>
        <w:suppressLineNumbers w:val="0"/>
        <w:spacing w:line="420" w:lineRule="atLeast"/>
        <w:ind w:left="0" w:firstLine="600"/>
        <w:rPr>
          <w:color w:val="17233D"/>
          <w:sz w:val="32"/>
          <w:szCs w:val="32"/>
        </w:rPr>
      </w:pPr>
      <w:r>
        <w:rPr>
          <w:rFonts w:hint="eastAsia" w:ascii="微软雅黑" w:hAnsi="微软雅黑" w:eastAsia="微软雅黑" w:cs="微软雅黑"/>
          <w:i w:val="0"/>
          <w:iCs w:val="0"/>
          <w:caps w:val="0"/>
          <w:color w:val="17233D"/>
          <w:spacing w:val="0"/>
          <w:sz w:val="32"/>
          <w:szCs w:val="32"/>
        </w:rPr>
        <w:t>21.体育发展基金的使用事项；</w:t>
      </w:r>
    </w:p>
    <w:p w14:paraId="718F641D">
      <w:pPr>
        <w:pStyle w:val="3"/>
        <w:keepNext w:val="0"/>
        <w:keepLines w:val="0"/>
        <w:widowControl/>
        <w:suppressLineNumbers w:val="0"/>
        <w:spacing w:line="420" w:lineRule="atLeast"/>
        <w:ind w:left="0" w:firstLine="600"/>
        <w:rPr>
          <w:color w:val="17233D"/>
          <w:sz w:val="32"/>
          <w:szCs w:val="32"/>
        </w:rPr>
      </w:pPr>
      <w:r>
        <w:rPr>
          <w:rFonts w:hint="eastAsia" w:ascii="微软雅黑" w:hAnsi="微软雅黑" w:eastAsia="微软雅黑" w:cs="微软雅黑"/>
          <w:i w:val="0"/>
          <w:iCs w:val="0"/>
          <w:caps w:val="0"/>
          <w:color w:val="17233D"/>
          <w:spacing w:val="0"/>
          <w:sz w:val="32"/>
          <w:szCs w:val="32"/>
        </w:rPr>
        <w:t>22.经教研部主要领导认定，其他涉及教研部发展、安全稳定和师生员工切身利益的重大事项。</w:t>
      </w:r>
    </w:p>
    <w:p w14:paraId="3960F63B">
      <w:pPr>
        <w:pStyle w:val="3"/>
        <w:keepNext w:val="0"/>
        <w:keepLines w:val="0"/>
        <w:widowControl/>
        <w:suppressLineNumbers w:val="0"/>
        <w:spacing w:line="420" w:lineRule="atLeast"/>
        <w:jc w:val="center"/>
        <w:rPr>
          <w:color w:val="17233D"/>
          <w:sz w:val="32"/>
          <w:szCs w:val="32"/>
        </w:rPr>
      </w:pPr>
      <w:r>
        <w:rPr>
          <w:rStyle w:val="6"/>
          <w:rFonts w:hint="eastAsia" w:ascii="微软雅黑" w:hAnsi="微软雅黑" w:eastAsia="微软雅黑" w:cs="微软雅黑"/>
          <w:i w:val="0"/>
          <w:iCs w:val="0"/>
          <w:caps w:val="0"/>
          <w:color w:val="17233D"/>
          <w:spacing w:val="0"/>
          <w:sz w:val="32"/>
          <w:szCs w:val="32"/>
        </w:rPr>
        <w:t>三、决策的主要形式</w:t>
      </w:r>
    </w:p>
    <w:p w14:paraId="08A10255">
      <w:pPr>
        <w:pStyle w:val="3"/>
        <w:keepNext w:val="0"/>
        <w:keepLines w:val="0"/>
        <w:widowControl/>
        <w:suppressLineNumbers w:val="0"/>
        <w:spacing w:line="420" w:lineRule="atLeast"/>
        <w:ind w:left="0" w:firstLine="600"/>
        <w:rPr>
          <w:color w:val="17233D"/>
          <w:sz w:val="32"/>
          <w:szCs w:val="32"/>
        </w:rPr>
      </w:pPr>
      <w:r>
        <w:rPr>
          <w:rFonts w:hint="eastAsia" w:ascii="微软雅黑" w:hAnsi="微软雅黑" w:eastAsia="微软雅黑" w:cs="微软雅黑"/>
          <w:i w:val="0"/>
          <w:iCs w:val="0"/>
          <w:caps w:val="0"/>
          <w:color w:val="17233D"/>
          <w:spacing w:val="0"/>
          <w:sz w:val="32"/>
          <w:szCs w:val="32"/>
        </w:rPr>
        <w:t>凡“三重一大”事项必须经领导班子集体研究决策，要坚持民主集中制原则，防止个人或少数人专断。</w:t>
      </w:r>
    </w:p>
    <w:p w14:paraId="37B4C86D">
      <w:pPr>
        <w:pStyle w:val="3"/>
        <w:keepNext w:val="0"/>
        <w:keepLines w:val="0"/>
        <w:widowControl/>
        <w:suppressLineNumbers w:val="0"/>
        <w:spacing w:line="420" w:lineRule="atLeast"/>
        <w:ind w:left="0" w:firstLine="600"/>
        <w:rPr>
          <w:color w:val="17233D"/>
          <w:sz w:val="32"/>
          <w:szCs w:val="32"/>
        </w:rPr>
      </w:pPr>
      <w:r>
        <w:rPr>
          <w:rFonts w:hint="eastAsia" w:ascii="微软雅黑" w:hAnsi="微软雅黑" w:eastAsia="微软雅黑" w:cs="微软雅黑"/>
          <w:i w:val="0"/>
          <w:iCs w:val="0"/>
          <w:caps w:val="0"/>
          <w:color w:val="17233D"/>
          <w:spacing w:val="0"/>
          <w:sz w:val="32"/>
          <w:szCs w:val="32"/>
        </w:rPr>
        <w:t>党政联席会是教研部的最高决策机构，凡教研部“三重一大”事项必须经党政联席会议审定，以保证党的路线方针政策、上级重要工作部署和学校、教研部各项任务的贯彻落实。</w:t>
      </w:r>
    </w:p>
    <w:p w14:paraId="2FFB6D63">
      <w:pPr>
        <w:pStyle w:val="3"/>
        <w:keepNext w:val="0"/>
        <w:keepLines w:val="0"/>
        <w:widowControl/>
        <w:suppressLineNumbers w:val="0"/>
        <w:spacing w:line="420" w:lineRule="atLeast"/>
        <w:jc w:val="center"/>
        <w:rPr>
          <w:color w:val="17233D"/>
          <w:sz w:val="32"/>
          <w:szCs w:val="32"/>
        </w:rPr>
      </w:pPr>
      <w:r>
        <w:rPr>
          <w:rStyle w:val="6"/>
          <w:rFonts w:hint="eastAsia" w:ascii="微软雅黑" w:hAnsi="微软雅黑" w:eastAsia="微软雅黑" w:cs="微软雅黑"/>
          <w:i w:val="0"/>
          <w:iCs w:val="0"/>
          <w:caps w:val="0"/>
          <w:color w:val="17233D"/>
          <w:spacing w:val="0"/>
          <w:sz w:val="32"/>
          <w:szCs w:val="32"/>
        </w:rPr>
        <w:t>四、决策的基本程序</w:t>
      </w:r>
    </w:p>
    <w:p w14:paraId="25756DF0">
      <w:pPr>
        <w:pStyle w:val="3"/>
        <w:keepNext w:val="0"/>
        <w:keepLines w:val="0"/>
        <w:widowControl/>
        <w:suppressLineNumbers w:val="0"/>
        <w:spacing w:line="420" w:lineRule="atLeast"/>
        <w:ind w:left="0" w:firstLine="600"/>
        <w:rPr>
          <w:color w:val="17233D"/>
          <w:sz w:val="32"/>
          <w:szCs w:val="32"/>
        </w:rPr>
      </w:pPr>
      <w:r>
        <w:rPr>
          <w:rFonts w:hint="eastAsia" w:ascii="微软雅黑" w:hAnsi="微软雅黑" w:eastAsia="微软雅黑" w:cs="微软雅黑"/>
          <w:i w:val="0"/>
          <w:iCs w:val="0"/>
          <w:caps w:val="0"/>
          <w:color w:val="17233D"/>
          <w:spacing w:val="0"/>
          <w:sz w:val="32"/>
          <w:szCs w:val="32"/>
        </w:rPr>
        <w:t>1.</w:t>
      </w:r>
      <w:r>
        <w:rPr>
          <w:rFonts w:hint="eastAsia" w:ascii="微软雅黑" w:hAnsi="微软雅黑" w:eastAsia="微软雅黑" w:cs="微软雅黑"/>
          <w:i w:val="0"/>
          <w:iCs w:val="0"/>
          <w:caps w:val="0"/>
          <w:color w:val="17233D"/>
          <w:spacing w:val="0"/>
          <w:sz w:val="32"/>
          <w:szCs w:val="32"/>
          <w:shd w:val="clear" w:fill="FFFFFF"/>
        </w:rPr>
        <w:t>“三重一大”事项提交集体决策前，应当</w:t>
      </w:r>
      <w:r>
        <w:rPr>
          <w:rFonts w:hint="eastAsia" w:ascii="微软雅黑" w:hAnsi="微软雅黑" w:eastAsia="微软雅黑" w:cs="微软雅黑"/>
          <w:i w:val="0"/>
          <w:iCs w:val="0"/>
          <w:caps w:val="0"/>
          <w:color w:val="17233D"/>
          <w:spacing w:val="0"/>
          <w:sz w:val="32"/>
          <w:szCs w:val="32"/>
        </w:rPr>
        <w:t>认真调查研究，充分论证，广泛听取并充分吸收各方面的意见。与师生员工利益密切相关的事项，要通过教职工大会或其他形式广泛听取意见和建议。要充分发挥教授委员会的作用，提升决策科学化水平。</w:t>
      </w:r>
    </w:p>
    <w:p w14:paraId="3F6557D1">
      <w:pPr>
        <w:pStyle w:val="3"/>
        <w:keepNext w:val="0"/>
        <w:keepLines w:val="0"/>
        <w:widowControl/>
        <w:suppressLineNumbers w:val="0"/>
        <w:spacing w:line="420" w:lineRule="atLeast"/>
        <w:ind w:left="0" w:firstLine="600"/>
        <w:rPr>
          <w:color w:val="17233D"/>
          <w:sz w:val="32"/>
          <w:szCs w:val="32"/>
        </w:rPr>
      </w:pPr>
      <w:r>
        <w:rPr>
          <w:rFonts w:hint="eastAsia" w:ascii="微软雅黑" w:hAnsi="微软雅黑" w:eastAsia="微软雅黑" w:cs="微软雅黑"/>
          <w:i w:val="0"/>
          <w:iCs w:val="0"/>
          <w:caps w:val="0"/>
          <w:color w:val="17233D"/>
          <w:spacing w:val="0"/>
          <w:sz w:val="32"/>
          <w:szCs w:val="32"/>
        </w:rPr>
        <w:t>2.</w:t>
      </w:r>
      <w:r>
        <w:rPr>
          <w:rFonts w:hint="eastAsia" w:ascii="微软雅黑" w:hAnsi="微软雅黑" w:eastAsia="微软雅黑" w:cs="微软雅黑"/>
          <w:i w:val="0"/>
          <w:iCs w:val="0"/>
          <w:caps w:val="0"/>
          <w:color w:val="17233D"/>
          <w:spacing w:val="0"/>
          <w:sz w:val="32"/>
          <w:szCs w:val="32"/>
          <w:shd w:val="clear" w:fill="FFFFFF"/>
        </w:rPr>
        <w:t>“三重一大”事项应</w:t>
      </w:r>
      <w:r>
        <w:rPr>
          <w:rFonts w:hint="eastAsia" w:ascii="微软雅黑" w:hAnsi="微软雅黑" w:eastAsia="微软雅黑" w:cs="微软雅黑"/>
          <w:i w:val="0"/>
          <w:iCs w:val="0"/>
          <w:caps w:val="0"/>
          <w:color w:val="17233D"/>
          <w:spacing w:val="0"/>
          <w:sz w:val="32"/>
          <w:szCs w:val="32"/>
        </w:rPr>
        <w:t>以规定的会议形式集体研究决策，</w:t>
      </w:r>
      <w:r>
        <w:rPr>
          <w:rFonts w:hint="eastAsia" w:ascii="微软雅黑" w:hAnsi="微软雅黑" w:eastAsia="微软雅黑" w:cs="微软雅黑"/>
          <w:i w:val="0"/>
          <w:iCs w:val="0"/>
          <w:caps w:val="0"/>
          <w:color w:val="17233D"/>
          <w:spacing w:val="0"/>
          <w:sz w:val="32"/>
          <w:szCs w:val="32"/>
          <w:shd w:val="clear" w:fill="FFFFFF"/>
        </w:rPr>
        <w:t>不得以传阅会签或个别征求意见等方式代替会议决定。除紧急情况外，不得临时动议由个人或少数人临时决定重大事项。紧急情况下，由个人或少数人临时决定的，决定人应对决策负责，事后应及时报告并按程序予以追议。</w:t>
      </w:r>
    </w:p>
    <w:p w14:paraId="55E673CD">
      <w:pPr>
        <w:pStyle w:val="3"/>
        <w:keepNext w:val="0"/>
        <w:keepLines w:val="0"/>
        <w:widowControl/>
        <w:suppressLineNumbers w:val="0"/>
        <w:shd w:val="clear" w:fill="FFFFFF"/>
        <w:spacing w:line="420" w:lineRule="atLeast"/>
        <w:ind w:left="0" w:firstLine="600"/>
        <w:rPr>
          <w:color w:val="17233D"/>
          <w:sz w:val="32"/>
          <w:szCs w:val="32"/>
        </w:rPr>
      </w:pPr>
      <w:r>
        <w:rPr>
          <w:rFonts w:hint="eastAsia" w:ascii="微软雅黑" w:hAnsi="微软雅黑" w:eastAsia="微软雅黑" w:cs="微软雅黑"/>
          <w:i w:val="0"/>
          <w:iCs w:val="0"/>
          <w:caps w:val="0"/>
          <w:color w:val="17233D"/>
          <w:spacing w:val="0"/>
          <w:sz w:val="32"/>
          <w:szCs w:val="32"/>
          <w:shd w:val="clear" w:fill="FFFFFF"/>
        </w:rPr>
        <w:t>3.会议决策“三重一大”事项，要有应到会人数的三分之二及以上人员出席方能举行。其他有关人员可按有关规定，根据会议议题，列席有关会议。</w:t>
      </w:r>
    </w:p>
    <w:p w14:paraId="15D1DE9E">
      <w:pPr>
        <w:pStyle w:val="3"/>
        <w:keepNext w:val="0"/>
        <w:keepLines w:val="0"/>
        <w:widowControl/>
        <w:suppressLineNumbers w:val="0"/>
        <w:shd w:val="clear" w:fill="FFFFFF"/>
        <w:spacing w:line="420" w:lineRule="atLeast"/>
        <w:ind w:left="0" w:firstLine="600"/>
        <w:rPr>
          <w:color w:val="17233D"/>
          <w:sz w:val="32"/>
          <w:szCs w:val="32"/>
        </w:rPr>
      </w:pPr>
      <w:r>
        <w:rPr>
          <w:rFonts w:hint="eastAsia" w:ascii="微软雅黑" w:hAnsi="微软雅黑" w:eastAsia="微软雅黑" w:cs="微软雅黑"/>
          <w:i w:val="0"/>
          <w:iCs w:val="0"/>
          <w:caps w:val="0"/>
          <w:color w:val="17233D"/>
          <w:spacing w:val="0"/>
          <w:sz w:val="32"/>
          <w:szCs w:val="32"/>
          <w:shd w:val="clear" w:fill="FFFFFF"/>
        </w:rPr>
        <w:t>4.会议研究决定“三重一大”事项，应坚持一题一议，与会人员要充分讨论，对决策建议应分别表示同意、不同意或缓议的意见，并说明理由。</w:t>
      </w:r>
    </w:p>
    <w:p w14:paraId="00CA89A1">
      <w:pPr>
        <w:pStyle w:val="3"/>
        <w:keepNext w:val="0"/>
        <w:keepLines w:val="0"/>
        <w:widowControl/>
        <w:suppressLineNumbers w:val="0"/>
        <w:spacing w:line="420" w:lineRule="atLeast"/>
        <w:ind w:left="0" w:firstLine="600"/>
        <w:rPr>
          <w:color w:val="17233D"/>
          <w:sz w:val="32"/>
          <w:szCs w:val="32"/>
        </w:rPr>
      </w:pPr>
      <w:r>
        <w:rPr>
          <w:rFonts w:hint="eastAsia" w:ascii="微软雅黑" w:hAnsi="微软雅黑" w:eastAsia="微软雅黑" w:cs="微软雅黑"/>
          <w:i w:val="0"/>
          <w:iCs w:val="0"/>
          <w:caps w:val="0"/>
          <w:color w:val="17233D"/>
          <w:spacing w:val="0"/>
          <w:sz w:val="32"/>
          <w:szCs w:val="32"/>
          <w:shd w:val="clear" w:fill="FFFFFF"/>
        </w:rPr>
        <w:t>5.参与“三重一大”事项决策的个人对集体决策有不同意见，可以保留或向上级反映，但不得擅自改变或拒绝执行。如遇特殊情况需对决策内容作重大调整，应当重新按规定履行决策程序。</w:t>
      </w:r>
    </w:p>
    <w:p w14:paraId="5B25CDA8">
      <w:pPr>
        <w:pStyle w:val="3"/>
        <w:keepNext w:val="0"/>
        <w:keepLines w:val="0"/>
        <w:widowControl/>
        <w:suppressLineNumbers w:val="0"/>
        <w:spacing w:line="420" w:lineRule="atLeast"/>
        <w:ind w:left="0" w:firstLine="600"/>
        <w:rPr>
          <w:color w:val="17233D"/>
          <w:sz w:val="32"/>
          <w:szCs w:val="32"/>
        </w:rPr>
      </w:pPr>
      <w:r>
        <w:rPr>
          <w:rFonts w:hint="eastAsia" w:ascii="微软雅黑" w:hAnsi="微软雅黑" w:eastAsia="微软雅黑" w:cs="微软雅黑"/>
          <w:i w:val="0"/>
          <w:iCs w:val="0"/>
          <w:caps w:val="0"/>
          <w:color w:val="17233D"/>
          <w:spacing w:val="0"/>
          <w:sz w:val="32"/>
          <w:szCs w:val="32"/>
        </w:rPr>
        <w:t>6.</w:t>
      </w:r>
      <w:r>
        <w:rPr>
          <w:rFonts w:hint="eastAsia" w:ascii="微软雅黑" w:hAnsi="微软雅黑" w:eastAsia="微软雅黑" w:cs="微软雅黑"/>
          <w:i w:val="0"/>
          <w:iCs w:val="0"/>
          <w:caps w:val="0"/>
          <w:color w:val="17233D"/>
          <w:spacing w:val="0"/>
          <w:sz w:val="32"/>
          <w:szCs w:val="32"/>
          <w:shd w:val="clear" w:fill="FFFFFF"/>
        </w:rPr>
        <w:t>“三重一大”事项决策</w:t>
      </w:r>
      <w:r>
        <w:rPr>
          <w:rFonts w:hint="eastAsia" w:ascii="微软雅黑" w:hAnsi="微软雅黑" w:eastAsia="微软雅黑" w:cs="微软雅黑"/>
          <w:i w:val="0"/>
          <w:iCs w:val="0"/>
          <w:caps w:val="0"/>
          <w:color w:val="17233D"/>
          <w:spacing w:val="0"/>
          <w:sz w:val="32"/>
          <w:szCs w:val="32"/>
        </w:rPr>
        <w:t>要做好会议记录。要明确、完整、详细地记录决策事项、决策范围、决策形式、决策程序、决策结论、参与人的意见以及表决情况等。会议通知、议程、记录、纪要、决定、备忘录等文字、音像等资料应存档备查。</w:t>
      </w:r>
    </w:p>
    <w:p w14:paraId="7FED1D37">
      <w:pPr>
        <w:pStyle w:val="3"/>
        <w:keepNext w:val="0"/>
        <w:keepLines w:val="0"/>
        <w:widowControl/>
        <w:suppressLineNumbers w:val="0"/>
        <w:spacing w:line="420" w:lineRule="atLeast"/>
        <w:jc w:val="center"/>
        <w:rPr>
          <w:color w:val="17233D"/>
          <w:sz w:val="32"/>
          <w:szCs w:val="32"/>
        </w:rPr>
      </w:pPr>
      <w:r>
        <w:rPr>
          <w:rStyle w:val="6"/>
          <w:rFonts w:hint="eastAsia" w:ascii="微软雅黑" w:hAnsi="微软雅黑" w:eastAsia="微软雅黑" w:cs="微软雅黑"/>
          <w:i w:val="0"/>
          <w:iCs w:val="0"/>
          <w:caps w:val="0"/>
          <w:color w:val="17233D"/>
          <w:spacing w:val="0"/>
          <w:sz w:val="32"/>
          <w:szCs w:val="32"/>
        </w:rPr>
        <w:t>五、决策的保障机制</w:t>
      </w:r>
    </w:p>
    <w:p w14:paraId="5AE4FCDB">
      <w:pPr>
        <w:pStyle w:val="3"/>
        <w:keepNext w:val="0"/>
        <w:keepLines w:val="0"/>
        <w:widowControl/>
        <w:suppressLineNumbers w:val="0"/>
        <w:spacing w:line="420" w:lineRule="atLeast"/>
        <w:ind w:left="0" w:firstLine="600"/>
        <w:rPr>
          <w:color w:val="17233D"/>
          <w:sz w:val="32"/>
          <w:szCs w:val="32"/>
        </w:rPr>
      </w:pPr>
      <w:r>
        <w:rPr>
          <w:rFonts w:hint="eastAsia" w:ascii="微软雅黑" w:hAnsi="微软雅黑" w:eastAsia="微软雅黑" w:cs="微软雅黑"/>
          <w:i w:val="0"/>
          <w:iCs w:val="0"/>
          <w:caps w:val="0"/>
          <w:color w:val="17233D"/>
          <w:spacing w:val="0"/>
          <w:sz w:val="32"/>
          <w:szCs w:val="32"/>
        </w:rPr>
        <w:t>1.建立落实回避制度。如有涉及与会人员本人或亲属利害关系，或其他可能影响公正决策的情形，参与决策或列席的人员应当回避。</w:t>
      </w:r>
    </w:p>
    <w:p w14:paraId="6D8F962F">
      <w:pPr>
        <w:pStyle w:val="3"/>
        <w:keepNext w:val="0"/>
        <w:keepLines w:val="0"/>
        <w:widowControl/>
        <w:suppressLineNumbers w:val="0"/>
        <w:spacing w:line="420" w:lineRule="atLeast"/>
        <w:ind w:left="0" w:firstLine="600"/>
        <w:rPr>
          <w:color w:val="17233D"/>
          <w:sz w:val="32"/>
          <w:szCs w:val="32"/>
        </w:rPr>
      </w:pPr>
      <w:r>
        <w:rPr>
          <w:rFonts w:hint="eastAsia" w:ascii="微软雅黑" w:hAnsi="微软雅黑" w:eastAsia="微软雅黑" w:cs="微软雅黑"/>
          <w:i w:val="0"/>
          <w:iCs w:val="0"/>
          <w:caps w:val="0"/>
          <w:color w:val="17233D"/>
          <w:spacing w:val="0"/>
          <w:sz w:val="32"/>
          <w:szCs w:val="32"/>
        </w:rPr>
        <w:t>2.建立公开制度。除涉密事项外，“三重一大”决策的事项要按照有关规定，通过教职工大会、文件、阳光体育网站、公开栏等形式予以公开。</w:t>
      </w:r>
    </w:p>
    <w:p w14:paraId="1800451F">
      <w:pPr>
        <w:pStyle w:val="3"/>
        <w:keepNext w:val="0"/>
        <w:keepLines w:val="0"/>
        <w:widowControl/>
        <w:suppressLineNumbers w:val="0"/>
        <w:spacing w:line="420" w:lineRule="atLeast"/>
        <w:ind w:left="0" w:firstLine="600"/>
        <w:rPr>
          <w:color w:val="17233D"/>
          <w:sz w:val="32"/>
          <w:szCs w:val="32"/>
        </w:rPr>
      </w:pPr>
      <w:r>
        <w:rPr>
          <w:rFonts w:hint="eastAsia" w:ascii="微软雅黑" w:hAnsi="微软雅黑" w:eastAsia="微软雅黑" w:cs="微软雅黑"/>
          <w:i w:val="0"/>
          <w:iCs w:val="0"/>
          <w:caps w:val="0"/>
          <w:color w:val="17233D"/>
          <w:spacing w:val="0"/>
          <w:sz w:val="32"/>
          <w:szCs w:val="32"/>
        </w:rPr>
        <w:t>3.建立落实报告制度。每年按照要求按时向学校党委报告教研部落实“三重一大”决策制度情况。领导班子成员执行“三重一大”决策制度的情况，列为民主生活会和述职述廉的重要内容。</w:t>
      </w:r>
    </w:p>
    <w:p w14:paraId="304782D2">
      <w:pPr>
        <w:pStyle w:val="3"/>
        <w:keepNext w:val="0"/>
        <w:keepLines w:val="0"/>
        <w:widowControl/>
        <w:suppressLineNumbers w:val="0"/>
        <w:spacing w:line="420" w:lineRule="atLeast"/>
        <w:ind w:left="0" w:firstLine="600"/>
        <w:rPr>
          <w:color w:val="17233D"/>
          <w:sz w:val="32"/>
          <w:szCs w:val="32"/>
        </w:rPr>
      </w:pPr>
      <w:r>
        <w:rPr>
          <w:rFonts w:hint="eastAsia" w:ascii="微软雅黑" w:hAnsi="微软雅黑" w:eastAsia="微软雅黑" w:cs="微软雅黑"/>
          <w:i w:val="0"/>
          <w:iCs w:val="0"/>
          <w:caps w:val="0"/>
          <w:color w:val="17233D"/>
          <w:spacing w:val="0"/>
          <w:sz w:val="32"/>
          <w:szCs w:val="32"/>
        </w:rPr>
        <w:t>4.建立落实考核评估制度。贯彻执行“三重一大”决策制度列为学校巡查工作、党风廉政建设责任制考核以及领导班子成员经济责任审计的重要内容，作为考察、考核和任免干部的重要依据。</w:t>
      </w:r>
    </w:p>
    <w:p w14:paraId="0FAFA001">
      <w:pPr>
        <w:pStyle w:val="3"/>
        <w:keepNext w:val="0"/>
        <w:keepLines w:val="0"/>
        <w:widowControl/>
        <w:suppressLineNumbers w:val="0"/>
        <w:spacing w:line="420" w:lineRule="atLeast"/>
        <w:ind w:left="0" w:firstLine="600"/>
        <w:rPr>
          <w:color w:val="17233D"/>
          <w:sz w:val="32"/>
          <w:szCs w:val="32"/>
        </w:rPr>
      </w:pPr>
      <w:r>
        <w:rPr>
          <w:rFonts w:hint="eastAsia" w:ascii="微软雅黑" w:hAnsi="微软雅黑" w:eastAsia="微软雅黑" w:cs="微软雅黑"/>
          <w:i w:val="0"/>
          <w:iCs w:val="0"/>
          <w:caps w:val="0"/>
          <w:color w:val="17233D"/>
          <w:spacing w:val="0"/>
          <w:sz w:val="32"/>
          <w:szCs w:val="32"/>
        </w:rPr>
        <w:t>5.建立落实责任追究制度。凡属下列情况，学校将依法依规分别追究班子主要负责人、分管负责人和其他负责人的责任，违反相关法律的，交由司法机关处理：</w:t>
      </w:r>
    </w:p>
    <w:p w14:paraId="44CDADC1">
      <w:pPr>
        <w:pStyle w:val="3"/>
        <w:keepNext w:val="0"/>
        <w:keepLines w:val="0"/>
        <w:widowControl/>
        <w:suppressLineNumbers w:val="0"/>
        <w:spacing w:line="420" w:lineRule="atLeast"/>
        <w:ind w:left="0" w:firstLine="600"/>
        <w:rPr>
          <w:color w:val="17233D"/>
          <w:sz w:val="32"/>
          <w:szCs w:val="32"/>
        </w:rPr>
      </w:pPr>
      <w:r>
        <w:rPr>
          <w:rFonts w:hint="eastAsia" w:ascii="微软雅黑" w:hAnsi="微软雅黑" w:eastAsia="微软雅黑" w:cs="微软雅黑"/>
          <w:i w:val="0"/>
          <w:iCs w:val="0"/>
          <w:caps w:val="0"/>
          <w:color w:val="17233D"/>
          <w:spacing w:val="0"/>
          <w:sz w:val="32"/>
          <w:szCs w:val="32"/>
        </w:rPr>
        <w:t>（</w:t>
      </w:r>
      <w:r>
        <w:rPr>
          <w:rFonts w:hint="default" w:ascii="仿宋_GB2312" w:hAnsi="微软雅黑" w:eastAsia="仿宋_GB2312" w:cs="仿宋_GB2312"/>
          <w:i w:val="0"/>
          <w:iCs w:val="0"/>
          <w:caps w:val="0"/>
          <w:color w:val="17233D"/>
          <w:spacing w:val="0"/>
          <w:sz w:val="32"/>
          <w:szCs w:val="32"/>
        </w:rPr>
        <w:t>1</w:t>
      </w:r>
      <w:r>
        <w:rPr>
          <w:rFonts w:hint="eastAsia" w:ascii="微软雅黑" w:hAnsi="微软雅黑" w:eastAsia="微软雅黑" w:cs="微软雅黑"/>
          <w:i w:val="0"/>
          <w:iCs w:val="0"/>
          <w:caps w:val="0"/>
          <w:color w:val="17233D"/>
          <w:spacing w:val="0"/>
          <w:sz w:val="32"/>
          <w:szCs w:val="32"/>
        </w:rPr>
        <w:t>）不履行“三重一大”决策制度，未经集体讨论而个人决策的；</w:t>
      </w:r>
    </w:p>
    <w:p w14:paraId="526A8B68">
      <w:pPr>
        <w:pStyle w:val="3"/>
        <w:keepNext w:val="0"/>
        <w:keepLines w:val="0"/>
        <w:widowControl/>
        <w:suppressLineNumbers w:val="0"/>
        <w:spacing w:line="420" w:lineRule="atLeast"/>
        <w:ind w:left="0" w:firstLine="600"/>
        <w:rPr>
          <w:color w:val="17233D"/>
          <w:sz w:val="32"/>
          <w:szCs w:val="32"/>
        </w:rPr>
      </w:pPr>
      <w:r>
        <w:rPr>
          <w:rFonts w:hint="eastAsia" w:ascii="微软雅黑" w:hAnsi="微软雅黑" w:eastAsia="微软雅黑" w:cs="微软雅黑"/>
          <w:i w:val="0"/>
          <w:iCs w:val="0"/>
          <w:caps w:val="0"/>
          <w:color w:val="17233D"/>
          <w:spacing w:val="0"/>
          <w:sz w:val="32"/>
          <w:szCs w:val="32"/>
        </w:rPr>
        <w:t>（</w:t>
      </w:r>
      <w:r>
        <w:rPr>
          <w:rFonts w:hint="default" w:ascii="仿宋_GB2312" w:hAnsi="微软雅黑" w:eastAsia="仿宋_GB2312" w:cs="仿宋_GB2312"/>
          <w:i w:val="0"/>
          <w:iCs w:val="0"/>
          <w:caps w:val="0"/>
          <w:color w:val="17233D"/>
          <w:spacing w:val="0"/>
          <w:sz w:val="32"/>
          <w:szCs w:val="32"/>
        </w:rPr>
        <w:t>2</w:t>
      </w:r>
      <w:r>
        <w:rPr>
          <w:rFonts w:hint="eastAsia" w:ascii="微软雅黑" w:hAnsi="微软雅黑" w:eastAsia="微软雅黑" w:cs="微软雅黑"/>
          <w:i w:val="0"/>
          <w:iCs w:val="0"/>
          <w:caps w:val="0"/>
          <w:color w:val="17233D"/>
          <w:spacing w:val="0"/>
          <w:sz w:val="32"/>
          <w:szCs w:val="32"/>
        </w:rPr>
        <w:t>）不正确履行“三重一大”决策制度的：</w:t>
      </w:r>
    </w:p>
    <w:p w14:paraId="1AD04D77">
      <w:pPr>
        <w:pStyle w:val="3"/>
        <w:keepNext w:val="0"/>
        <w:keepLines w:val="0"/>
        <w:widowControl/>
        <w:suppressLineNumbers w:val="0"/>
        <w:spacing w:line="420" w:lineRule="atLeast"/>
        <w:ind w:left="0" w:firstLine="600"/>
        <w:rPr>
          <w:color w:val="17233D"/>
          <w:sz w:val="32"/>
          <w:szCs w:val="32"/>
        </w:rPr>
      </w:pPr>
      <w:r>
        <w:rPr>
          <w:rFonts w:hint="eastAsia" w:ascii="微软雅黑" w:hAnsi="微软雅黑" w:eastAsia="微软雅黑" w:cs="微软雅黑"/>
          <w:i w:val="0"/>
          <w:iCs w:val="0"/>
          <w:caps w:val="0"/>
          <w:color w:val="17233D"/>
          <w:spacing w:val="0"/>
          <w:sz w:val="32"/>
          <w:szCs w:val="32"/>
        </w:rPr>
        <w:t>①调研失误，因调研不认真、不全面、不深入，未向领导班子提供全面真实情况而直接导致决策失误；</w:t>
      </w:r>
    </w:p>
    <w:p w14:paraId="1B8B8C48">
      <w:pPr>
        <w:pStyle w:val="3"/>
        <w:keepNext w:val="0"/>
        <w:keepLines w:val="0"/>
        <w:widowControl/>
        <w:suppressLineNumbers w:val="0"/>
        <w:spacing w:line="420" w:lineRule="atLeast"/>
        <w:ind w:left="0" w:firstLine="600"/>
        <w:rPr>
          <w:color w:val="17233D"/>
          <w:sz w:val="32"/>
          <w:szCs w:val="32"/>
        </w:rPr>
      </w:pPr>
      <w:r>
        <w:rPr>
          <w:rFonts w:hint="eastAsia" w:ascii="微软雅黑" w:hAnsi="微软雅黑" w:eastAsia="微软雅黑" w:cs="微软雅黑"/>
          <w:i w:val="0"/>
          <w:iCs w:val="0"/>
          <w:caps w:val="0"/>
          <w:color w:val="17233D"/>
          <w:spacing w:val="0"/>
          <w:sz w:val="32"/>
          <w:szCs w:val="32"/>
        </w:rPr>
        <w:t>②决策失误，造成重大损失；</w:t>
      </w:r>
    </w:p>
    <w:p w14:paraId="2B131339">
      <w:pPr>
        <w:pStyle w:val="3"/>
        <w:keepNext w:val="0"/>
        <w:keepLines w:val="0"/>
        <w:widowControl/>
        <w:suppressLineNumbers w:val="0"/>
        <w:spacing w:line="420" w:lineRule="atLeast"/>
        <w:ind w:left="0" w:firstLine="600"/>
        <w:rPr>
          <w:color w:val="17233D"/>
          <w:sz w:val="32"/>
          <w:szCs w:val="32"/>
        </w:rPr>
      </w:pPr>
      <w:r>
        <w:rPr>
          <w:rFonts w:hint="eastAsia" w:ascii="微软雅黑" w:hAnsi="微软雅黑" w:eastAsia="微软雅黑" w:cs="微软雅黑"/>
          <w:i w:val="0"/>
          <w:iCs w:val="0"/>
          <w:caps w:val="0"/>
          <w:color w:val="17233D"/>
          <w:spacing w:val="0"/>
          <w:sz w:val="32"/>
          <w:szCs w:val="32"/>
        </w:rPr>
        <w:t>③执行失误，不执行或擅自改变集体决定，以及执行决策后发现发现可能造成失误或损失而不及时采取措施纠正，造成重大经济损失和严重后果；</w:t>
      </w:r>
    </w:p>
    <w:p w14:paraId="385B0014">
      <w:pPr>
        <w:pStyle w:val="3"/>
        <w:keepNext w:val="0"/>
        <w:keepLines w:val="0"/>
        <w:widowControl/>
        <w:suppressLineNumbers w:val="0"/>
        <w:shd w:val="clear" w:fill="FFFFFF"/>
        <w:spacing w:line="420" w:lineRule="atLeast"/>
        <w:ind w:left="0" w:firstLine="600"/>
        <w:rPr>
          <w:color w:val="17233D"/>
          <w:sz w:val="32"/>
          <w:szCs w:val="32"/>
        </w:rPr>
      </w:pPr>
      <w:r>
        <w:rPr>
          <w:rFonts w:hint="eastAsia" w:ascii="微软雅黑" w:hAnsi="微软雅黑" w:eastAsia="微软雅黑" w:cs="微软雅黑"/>
          <w:i w:val="0"/>
          <w:iCs w:val="0"/>
          <w:caps w:val="0"/>
          <w:color w:val="17233D"/>
          <w:spacing w:val="0"/>
          <w:sz w:val="32"/>
          <w:szCs w:val="32"/>
          <w:shd w:val="clear" w:fill="FFFFFF"/>
        </w:rPr>
        <w:t>（</w:t>
      </w:r>
      <w:r>
        <w:rPr>
          <w:rFonts w:hint="default" w:ascii="仿宋_GB2312" w:hAnsi="微软雅黑" w:eastAsia="仿宋_GB2312" w:cs="仿宋_GB2312"/>
          <w:i w:val="0"/>
          <w:iCs w:val="0"/>
          <w:caps w:val="0"/>
          <w:color w:val="17233D"/>
          <w:spacing w:val="0"/>
          <w:sz w:val="32"/>
          <w:szCs w:val="32"/>
          <w:shd w:val="clear" w:fill="FFFFFF"/>
        </w:rPr>
        <w:t>3</w:t>
      </w:r>
      <w:r>
        <w:rPr>
          <w:rFonts w:hint="eastAsia" w:ascii="微软雅黑" w:hAnsi="微软雅黑" w:eastAsia="微软雅黑" w:cs="微软雅黑"/>
          <w:i w:val="0"/>
          <w:iCs w:val="0"/>
          <w:caps w:val="0"/>
          <w:color w:val="17233D"/>
          <w:spacing w:val="0"/>
          <w:sz w:val="32"/>
          <w:szCs w:val="32"/>
          <w:shd w:val="clear" w:fill="FFFFFF"/>
        </w:rPr>
        <w:t>）其他违反本实施细则的情形。</w:t>
      </w:r>
    </w:p>
    <w:p w14:paraId="1E492C5E">
      <w:pPr>
        <w:pStyle w:val="3"/>
        <w:keepNext w:val="0"/>
        <w:keepLines w:val="0"/>
        <w:widowControl/>
        <w:suppressLineNumbers w:val="0"/>
        <w:shd w:val="clear" w:fill="FFFFFF"/>
        <w:spacing w:line="420" w:lineRule="atLeast"/>
        <w:ind w:left="0" w:firstLine="600"/>
        <w:rPr>
          <w:color w:val="17233D"/>
          <w:sz w:val="32"/>
          <w:szCs w:val="32"/>
        </w:rPr>
      </w:pPr>
      <w:r>
        <w:rPr>
          <w:rFonts w:hint="eastAsia" w:ascii="微软雅黑" w:hAnsi="微软雅黑" w:eastAsia="微软雅黑" w:cs="微软雅黑"/>
          <w:i w:val="0"/>
          <w:iCs w:val="0"/>
          <w:caps w:val="0"/>
          <w:color w:val="17233D"/>
          <w:spacing w:val="0"/>
          <w:sz w:val="32"/>
          <w:szCs w:val="32"/>
          <w:shd w:val="clear" w:fill="FFFFFF"/>
        </w:rPr>
        <w:t>6.建立落实监督制度。工会、教职工大会和全体教职工有权监督“三重一大”决策制度的贯彻落实情况，有权向上级党组织和上级部门反映意见。</w:t>
      </w:r>
    </w:p>
    <w:p w14:paraId="3AE80821">
      <w:pPr>
        <w:pStyle w:val="3"/>
        <w:keepNext w:val="0"/>
        <w:keepLines w:val="0"/>
        <w:widowControl/>
        <w:suppressLineNumbers w:val="0"/>
        <w:shd w:val="clear" w:fill="FFFFFF"/>
        <w:spacing w:line="420" w:lineRule="atLeast"/>
        <w:jc w:val="center"/>
        <w:rPr>
          <w:color w:val="17233D"/>
          <w:sz w:val="32"/>
          <w:szCs w:val="32"/>
        </w:rPr>
      </w:pPr>
      <w:r>
        <w:rPr>
          <w:rStyle w:val="6"/>
          <w:rFonts w:hint="eastAsia" w:ascii="微软雅黑" w:hAnsi="微软雅黑" w:eastAsia="微软雅黑" w:cs="微软雅黑"/>
          <w:i w:val="0"/>
          <w:iCs w:val="0"/>
          <w:caps w:val="0"/>
          <w:color w:val="17233D"/>
          <w:spacing w:val="0"/>
          <w:sz w:val="32"/>
          <w:szCs w:val="32"/>
          <w:shd w:val="clear" w:fill="FFFFFF"/>
        </w:rPr>
        <w:t>六、附则</w:t>
      </w:r>
    </w:p>
    <w:p w14:paraId="26639E60">
      <w:pPr>
        <w:pStyle w:val="3"/>
        <w:keepNext w:val="0"/>
        <w:keepLines w:val="0"/>
        <w:widowControl/>
        <w:suppressLineNumbers w:val="0"/>
        <w:shd w:val="clear" w:fill="FFFFFF"/>
        <w:spacing w:line="420" w:lineRule="atLeast"/>
        <w:ind w:left="0" w:firstLine="600"/>
        <w:rPr>
          <w:color w:val="17233D"/>
          <w:sz w:val="32"/>
          <w:szCs w:val="32"/>
        </w:rPr>
      </w:pPr>
      <w:r>
        <w:rPr>
          <w:rFonts w:hint="eastAsia" w:ascii="微软雅黑" w:hAnsi="微软雅黑" w:eastAsia="微软雅黑" w:cs="微软雅黑"/>
          <w:i w:val="0"/>
          <w:iCs w:val="0"/>
          <w:caps w:val="0"/>
          <w:color w:val="17233D"/>
          <w:spacing w:val="0"/>
          <w:sz w:val="32"/>
          <w:szCs w:val="32"/>
          <w:shd w:val="clear" w:fill="FFFFFF"/>
        </w:rPr>
        <w:t>本实施细则自修订之日起施行，由教研部党政联席会议负责解释，原有的《体育教研部贯彻落实“三重一大”决策制度的实施办法》同时废止。</w:t>
      </w:r>
    </w:p>
    <w:p w14:paraId="63ADEBC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E0YzRlMDkwYWExOTJhOTdlN2Q1MGY2ZjYzMzk0ZjkifQ=="/>
  </w:docVars>
  <w:rsids>
    <w:rsidRoot w:val="2B465FAD"/>
    <w:rsid w:val="2B465F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2024-09-11T08:58:00Z</dcterms:created>
  <dc:creator>恒康佳业</dc:creator>
  <cp:lastModifiedBy>恒康佳业</cp:lastModifiedBy>
  <dcterms:modified xsi:type="dcterms:W3CDTF">2024-09-11T08:58:36Z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EF048BDB94FE4D9D9F73CE053829A60E_11</vt:lpwstr>
  </property>
</Properties>
</file>